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A88" w:rsidRDefault="00C63A88" w:rsidP="00C63A8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</w:rPr>
        <w:t>Profilová maturitní zkouška z odborných výtvarných předmětů konaná ústní formou.</w:t>
      </w:r>
      <w:r>
        <w:rPr>
          <w:rStyle w:val="eop"/>
          <w:rFonts w:ascii="Calibri" w:hAnsi="Calibri" w:cs="Calibri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</w:rPr>
        <w:t>Scénická a výstavní tvorba a Grafický design.</w:t>
      </w:r>
      <w:r>
        <w:rPr>
          <w:rStyle w:val="eop"/>
          <w:rFonts w:ascii="Calibri" w:hAnsi="Calibri" w:cs="Calibri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mbria" w:hAnsi="Cambria" w:cs="Segoe UI"/>
          <w:sz w:val="22"/>
          <w:szCs w:val="22"/>
        </w:rPr>
      </w:pPr>
    </w:p>
    <w:p w:rsidR="00C63A88" w:rsidRDefault="00C63A88" w:rsidP="00C63A8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C63A88" w:rsidRDefault="00C63A88" w:rsidP="00C63A8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C63A88" w:rsidRDefault="00C63A88" w:rsidP="00C63A8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sz w:val="22"/>
          <w:szCs w:val="22"/>
        </w:rPr>
        <w:t>1. Charakteristika profilové zkoušky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Style w:val="eop"/>
          <w:rFonts w:ascii="Cambria" w:hAnsi="Cambria" w:cs="Segoe UI"/>
          <w:sz w:val="22"/>
          <w:szCs w:val="22"/>
        </w:rPr>
      </w:pPr>
      <w:r>
        <w:rPr>
          <w:rStyle w:val="normaltextrun"/>
          <w:rFonts w:ascii="Cambria" w:hAnsi="Cambria" w:cs="Segoe UI"/>
          <w:sz w:val="22"/>
          <w:szCs w:val="22"/>
        </w:rPr>
        <w:t>P</w:t>
      </w:r>
      <w:r>
        <w:rPr>
          <w:rStyle w:val="normaltextrun"/>
          <w:rFonts w:ascii="Cambria" w:hAnsi="Cambria" w:cs="Segoe UI"/>
          <w:b/>
          <w:bCs/>
          <w:sz w:val="22"/>
          <w:szCs w:val="22"/>
        </w:rPr>
        <w:t>rofilová maturitní zkouška konaná ústní formou </w:t>
      </w:r>
      <w:r>
        <w:rPr>
          <w:rStyle w:val="normaltextrun"/>
          <w:rFonts w:ascii="Cambria" w:hAnsi="Cambria" w:cs="Segoe UI"/>
          <w:sz w:val="22"/>
          <w:szCs w:val="22"/>
        </w:rPr>
        <w:t>je povinnou zkouškou ze vzdělávací oblasti odborného vzdělávání obsažené v předmětu Dějiny kultury.</w:t>
      </w:r>
      <w:r>
        <w:rPr>
          <w:rStyle w:val="normaltextrun"/>
          <w:rFonts w:ascii="Cambria" w:hAnsi="Cambria" w:cs="Segoe UI"/>
          <w:b/>
          <w:bCs/>
          <w:sz w:val="22"/>
          <w:szCs w:val="22"/>
        </w:rPr>
        <w:t>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C63A88" w:rsidRDefault="00C63A88" w:rsidP="00C63A88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textAlignment w:val="baseline"/>
        <w:rPr>
          <w:rFonts w:ascii="Cambria" w:hAnsi="Cambria" w:cs="Segoe UI"/>
          <w:sz w:val="22"/>
          <w:szCs w:val="22"/>
        </w:rPr>
      </w:pPr>
      <w:r>
        <w:rPr>
          <w:rStyle w:val="normaltextrun"/>
          <w:rFonts w:ascii="Cambria" w:hAnsi="Cambria" w:cs="Segoe UI"/>
          <w:b/>
          <w:bCs/>
          <w:sz w:val="22"/>
          <w:szCs w:val="22"/>
        </w:rPr>
        <w:t>Forma a průběh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sz w:val="22"/>
          <w:szCs w:val="22"/>
        </w:rPr>
        <w:t>Ústní maturitní profilová zkouška je stejná pro všechny umělecké obory, SVT i GD. Zkouška má dvě fáze, přípravnou, která trvá maximálně 15 minut, a prezentační, která trvá maximálně 15 minut. Žák si v úvodu vylosuje jedno z témat (viz bod 2), kterému se věnuje během obou fází.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sz w:val="22"/>
          <w:szCs w:val="22"/>
        </w:rPr>
        <w:t>Během obou fází žák využívá obrazový materiál, přidělený zkoušejícím nebo přísedícím, po vylosování tématu. Tento obrazový materiál je během první fáze využívaný k přípravě tématu. Během druhé fáze je obrazový materiál využívaný žákem k aplikaci jeho tvrzení na konkrétní příklady a komisí k ověření jejich správnosti a k ověření dalších znalostí.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Style w:val="eop"/>
          <w:rFonts w:ascii="Cambria" w:hAnsi="Cambria" w:cs="Segoe UI"/>
          <w:sz w:val="22"/>
          <w:szCs w:val="22"/>
        </w:rPr>
      </w:pPr>
      <w:r>
        <w:rPr>
          <w:rStyle w:val="normaltextrun"/>
          <w:rFonts w:ascii="Cambria" w:hAnsi="Cambria" w:cs="Segoe UI"/>
          <w:sz w:val="22"/>
          <w:szCs w:val="22"/>
        </w:rPr>
        <w:t>Přípravná fáze probíhá písemnou formou ve zkušební místnosti, stranou od zkušební komise. Žák si na základě svých znalostí a obrazového materiálu písemně formuluje klíčová fakta. Realizační fáze probíhá verbálně před zkoušejícím a přísedícím a maturitní komisí. Žák během verbálního projevu může používat přípravný text jako podporu svého projevu. Na konci zkoušky tento text odevzdává zkoušejícímu nebo přísedícímu.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C63A88" w:rsidRDefault="00C63A88" w:rsidP="00C63A88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  <w:rPr>
          <w:rFonts w:ascii="Cambria" w:hAnsi="Cambria" w:cs="Segoe UI"/>
          <w:sz w:val="22"/>
          <w:szCs w:val="22"/>
        </w:rPr>
      </w:pPr>
      <w:r>
        <w:rPr>
          <w:rStyle w:val="normaltextrun"/>
          <w:rFonts w:ascii="Cambria" w:hAnsi="Cambria" w:cs="Segoe UI"/>
          <w:b/>
          <w:bCs/>
          <w:sz w:val="22"/>
          <w:szCs w:val="22"/>
        </w:rPr>
        <w:t>Hodnocení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sz w:val="22"/>
          <w:szCs w:val="22"/>
        </w:rPr>
        <w:t>Hodnocení výkonu žáka u ústní maturitní profilové zkoušky je vyjádřené klasifikačním stupněm 1-5. Vychází z hodnocení klíčových znalostí v rámci vylosovaného tématu a schopnosti používat odbornou terminologii v rámci předmětu. 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sz w:val="22"/>
          <w:szCs w:val="22"/>
        </w:rPr>
        <w:t>Za klíčové jsou v předmětu Dějiny kultury považovaná tato fakta: časové zařazení, místní zařazení, charakteristické rysy, klasifikace umělecké tvorby – druhy, regionální odchylky, podoba a vývoj typických prvků, hlavní představitelé a díla, historický, umělecký a sociální kontext, hlavní vlivy a význam vylosované etapy pro vývoj umění.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sz w:val="22"/>
          <w:szCs w:val="22"/>
        </w:rPr>
        <w:t>Během projevu žáka u něj komise sleduje využití odborné terminologie a aplikaci tvrzení na obrazovém materiálu.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sz w:val="22"/>
          <w:szCs w:val="22"/>
        </w:rPr>
        <w:t>Pokud není výkon žáka dostatečný, můžou zkoušející, přísedící nebo členové maturitní komise pokládat doplňující otázky. Pro hodnocení žáka je nejdůležitější samostatný verbální projev. V případě nejednoznačné klasifikace tohoto projevu komise přihlédne k písemné přípravě, kterou žák po ukončení prezentační fáze odevzdává zkoušejícímu nebo přísedícímu. 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sz w:val="22"/>
          <w:szCs w:val="22"/>
        </w:rPr>
        <w:t>2.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mbria" w:hAnsi="Cambria" w:cs="Segoe UI"/>
          <w:b/>
          <w:bCs/>
          <w:sz w:val="22"/>
          <w:szCs w:val="22"/>
        </w:rPr>
        <w:t>Okruhy pro profilovou maturitní zkoušku konanou ústní formou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sz w:val="22"/>
          <w:szCs w:val="22"/>
        </w:rPr>
        <w:t>               Dějiny kultury pro  SVT a GD.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Umění Pravěku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Starověk (Egypt, Mezopotámie)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Kréta, Mykény a Řecká architektura, sochařství a malířství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Etruskové a Římské umění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Raně křesťanské umění a Byzanc, </w:t>
      </w:r>
      <w:proofErr w:type="spellStart"/>
      <w:r>
        <w:rPr>
          <w:rStyle w:val="normaltextrun"/>
        </w:rPr>
        <w:t>Ravena</w:t>
      </w:r>
      <w:proofErr w:type="spellEnd"/>
      <w:r>
        <w:rPr>
          <w:rStyle w:val="normaltextrun"/>
        </w:rPr>
        <w:t xml:space="preserve"> a Velká Morava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Karolínské a Otonské umění, Románský sloh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Gotické umění v Evropě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Česká gotické umění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Raná renesance v Itálii – malířství, sochařství, architektura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lastRenderedPageBreak/>
        <w:t>Vrcholná a pozdní renesance v Itálii – malířství, sochařství, architektura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Záalpská renesance. Renesance a manýrismus v Čechách a na Moravě.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Barokní architektura a sochařství v Itálii a ve Francii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Barokní malířství v Evropě – Itálie, Francie, Nizozemí, Španělsko. Rokoko v Evropských zemích. 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Barokní umění v Českých zemích, Olomoucké baroko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Klasicismus a Romantismus – architektura a sochařství v Evropě a českých zemích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Klasicismus a Romantismus – malířství v Evropě a českých zemích (Francie, </w:t>
      </w:r>
      <w:proofErr w:type="spellStart"/>
      <w:r>
        <w:rPr>
          <w:rStyle w:val="normaltextrun"/>
        </w:rPr>
        <w:t>Barbizonská</w:t>
      </w:r>
      <w:proofErr w:type="spellEnd"/>
      <w:r>
        <w:rPr>
          <w:rStyle w:val="normaltextrun"/>
        </w:rPr>
        <w:t xml:space="preserve"> škola, Anglie, České země)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Realismus v Evropě – architektura, sochařství malířství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Realismus v Českých zemích - architektura, sochařství malířství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Národní divadlo a generace národního divadla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Francouzské umění poslední třetiny 19. století (Impresionismus, Pointilismus, symbolismus)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Naivní malba, expresionismus a fauvismus na počátku 20. století (Van </w:t>
      </w:r>
      <w:proofErr w:type="spellStart"/>
      <w:r>
        <w:rPr>
          <w:rStyle w:val="normaltextrun"/>
        </w:rPr>
        <w:t>Gogh</w:t>
      </w:r>
      <w:proofErr w:type="spellEnd"/>
      <w:r>
        <w:rPr>
          <w:rStyle w:val="normaltextrun"/>
        </w:rPr>
        <w:t xml:space="preserve">, </w:t>
      </w:r>
      <w:proofErr w:type="spellStart"/>
      <w:r>
        <w:rPr>
          <w:rStyle w:val="normaltextrun"/>
        </w:rPr>
        <w:t>Munch</w:t>
      </w:r>
      <w:proofErr w:type="spellEnd"/>
      <w:r>
        <w:rPr>
          <w:rStyle w:val="normaltextrun"/>
        </w:rPr>
        <w:t xml:space="preserve"> a </w:t>
      </w:r>
      <w:proofErr w:type="spellStart"/>
      <w:r>
        <w:rPr>
          <w:rStyle w:val="normaltextrun"/>
        </w:rPr>
        <w:t>Ensor</w:t>
      </w:r>
      <w:proofErr w:type="spellEnd"/>
      <w:r>
        <w:rPr>
          <w:rStyle w:val="normaltextrun"/>
        </w:rPr>
        <w:t xml:space="preserve">, </w:t>
      </w:r>
      <w:proofErr w:type="spellStart"/>
      <w:r>
        <w:rPr>
          <w:rStyle w:val="normaltextrun"/>
        </w:rPr>
        <w:t>Gauguin</w:t>
      </w:r>
      <w:proofErr w:type="spellEnd"/>
      <w:r>
        <w:rPr>
          <w:rStyle w:val="normaltextrun"/>
        </w:rPr>
        <w:t>)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Secese v Evropě a Českých zemích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31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Moderní umělecké směry počátku 20. století (abstraktní směry – Orfismus, Neoplasticismus, Suprematismus, </w:t>
      </w:r>
      <w:proofErr w:type="spellStart"/>
      <w:r>
        <w:rPr>
          <w:rStyle w:val="normaltextrun"/>
        </w:rPr>
        <w:t>Rayonismus</w:t>
      </w:r>
      <w:proofErr w:type="spellEnd"/>
      <w:r>
        <w:rPr>
          <w:rStyle w:val="normaltextrun"/>
        </w:rPr>
        <w:t xml:space="preserve">, Konstruktivismus, </w:t>
      </w:r>
      <w:proofErr w:type="spellStart"/>
      <w:r>
        <w:rPr>
          <w:rStyle w:val="normaltextrun"/>
        </w:rPr>
        <w:t>Cézanne</w:t>
      </w:r>
      <w:proofErr w:type="spellEnd"/>
      <w:r>
        <w:rPr>
          <w:rStyle w:val="normaltextrun"/>
        </w:rPr>
        <w:t xml:space="preserve"> a Kubismus, Futurismus)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Surrealismus, Dadaismus, Metafyzická malba, </w:t>
      </w:r>
      <w:proofErr w:type="spellStart"/>
      <w:r>
        <w:rPr>
          <w:rStyle w:val="normaltextrun"/>
        </w:rPr>
        <w:t>Bauhaus</w:t>
      </w:r>
      <w:proofErr w:type="spellEnd"/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33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Světové umění 1. pol. 20. století (Funkcionalismus – </w:t>
      </w:r>
      <w:proofErr w:type="spellStart"/>
      <w:r>
        <w:rPr>
          <w:rStyle w:val="normaltextrun"/>
        </w:rPr>
        <w:t>Corbusier</w:t>
      </w:r>
      <w:proofErr w:type="spellEnd"/>
      <w:r>
        <w:rPr>
          <w:rStyle w:val="normaltextrun"/>
        </w:rPr>
        <w:t xml:space="preserve">, </w:t>
      </w:r>
      <w:proofErr w:type="spellStart"/>
      <w:r>
        <w:rPr>
          <w:rStyle w:val="normaltextrun"/>
        </w:rPr>
        <w:t>Rohe</w:t>
      </w:r>
      <w:proofErr w:type="spellEnd"/>
      <w:r>
        <w:rPr>
          <w:rStyle w:val="normaltextrun"/>
        </w:rPr>
        <w:t xml:space="preserve">, Organická arch. – </w:t>
      </w:r>
      <w:proofErr w:type="spellStart"/>
      <w:r>
        <w:rPr>
          <w:rStyle w:val="normaltextrun"/>
        </w:rPr>
        <w:t>Wright</w:t>
      </w:r>
      <w:proofErr w:type="spellEnd"/>
      <w:r>
        <w:rPr>
          <w:rStyle w:val="normaltextrun"/>
        </w:rPr>
        <w:t>, mrakodrapy v </w:t>
      </w:r>
      <w:proofErr w:type="spellStart"/>
      <w:r>
        <w:rPr>
          <w:rStyle w:val="normaltextrun"/>
        </w:rPr>
        <w:t>Usa</w:t>
      </w:r>
      <w:proofErr w:type="spellEnd"/>
      <w:r>
        <w:rPr>
          <w:rStyle w:val="normaltextrun"/>
        </w:rPr>
        <w:t>)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34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 xml:space="preserve">České umění 1. pol. 20. Století (kubistická architektura, Osma a </w:t>
      </w:r>
      <w:proofErr w:type="spellStart"/>
      <w:r>
        <w:rPr>
          <w:rStyle w:val="normaltextrun"/>
        </w:rPr>
        <w:t>Svu</w:t>
      </w:r>
      <w:proofErr w:type="spellEnd"/>
      <w:r>
        <w:rPr>
          <w:rStyle w:val="normaltextrun"/>
        </w:rPr>
        <w:t>, Devětsil a Česká surrealistická skupina…) 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numPr>
          <w:ilvl w:val="0"/>
          <w:numId w:val="35"/>
        </w:numPr>
        <w:spacing w:before="0" w:beforeAutospacing="0" w:after="0" w:afterAutospacing="0"/>
        <w:ind w:left="360" w:firstLine="0"/>
        <w:textAlignment w:val="baseline"/>
      </w:pPr>
      <w:r>
        <w:rPr>
          <w:rStyle w:val="normaltextrun"/>
        </w:rPr>
        <w:t>Umění 2. Poloviny 20. století (Abstrakce, Pop art, Op art, Kinetismus, Land art…)</w:t>
      </w:r>
      <w:r>
        <w:rPr>
          <w:rStyle w:val="eop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C63A88" w:rsidRDefault="00C63A88" w:rsidP="00C63A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sz w:val="22"/>
          <w:szCs w:val="22"/>
        </w:rPr>
        <w:t xml:space="preserve">Zpracovala: Mgr. </w:t>
      </w:r>
      <w:proofErr w:type="spellStart"/>
      <w:r>
        <w:rPr>
          <w:rStyle w:val="normaltextrun"/>
          <w:rFonts w:ascii="Cambria" w:hAnsi="Cambria" w:cs="Segoe UI"/>
          <w:sz w:val="22"/>
          <w:szCs w:val="22"/>
        </w:rPr>
        <w:t>MgA</w:t>
      </w:r>
      <w:proofErr w:type="spellEnd"/>
      <w:r>
        <w:rPr>
          <w:rStyle w:val="normaltextrun"/>
          <w:rFonts w:ascii="Cambria" w:hAnsi="Cambria" w:cs="Segoe UI"/>
          <w:sz w:val="22"/>
          <w:szCs w:val="22"/>
        </w:rPr>
        <w:t>. Kristýna Boháčová, Ph.D.</w:t>
      </w:r>
      <w:r>
        <w:rPr>
          <w:rStyle w:val="eop"/>
          <w:rFonts w:ascii="Cambria" w:hAnsi="Cambria" w:cs="Segoe UI"/>
          <w:sz w:val="22"/>
          <w:szCs w:val="22"/>
        </w:rPr>
        <w:t> </w:t>
      </w:r>
    </w:p>
    <w:p w:rsidR="001A0B50" w:rsidRDefault="001A0B50" w:rsidP="00921200"/>
    <w:sectPr w:rsidR="001A0B50" w:rsidSect="008B0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EE4"/>
    <w:multiLevelType w:val="multilevel"/>
    <w:tmpl w:val="71F2E43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CF4A22"/>
    <w:multiLevelType w:val="multilevel"/>
    <w:tmpl w:val="6504E78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84F2F"/>
    <w:multiLevelType w:val="multilevel"/>
    <w:tmpl w:val="1FA2D7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9A579E"/>
    <w:multiLevelType w:val="hybridMultilevel"/>
    <w:tmpl w:val="2D103CAA"/>
    <w:lvl w:ilvl="0" w:tplc="788E4FBA">
      <w:start w:val="5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7936C4"/>
    <w:multiLevelType w:val="multilevel"/>
    <w:tmpl w:val="936652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F84A13"/>
    <w:multiLevelType w:val="multilevel"/>
    <w:tmpl w:val="065C5E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6E1CA6"/>
    <w:multiLevelType w:val="multilevel"/>
    <w:tmpl w:val="9D3C8B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D1FDA"/>
    <w:multiLevelType w:val="multilevel"/>
    <w:tmpl w:val="45B6CAA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45758"/>
    <w:multiLevelType w:val="hybridMultilevel"/>
    <w:tmpl w:val="D99CB7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E0C44"/>
    <w:multiLevelType w:val="multilevel"/>
    <w:tmpl w:val="A1B05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AD5083"/>
    <w:multiLevelType w:val="multilevel"/>
    <w:tmpl w:val="14B23F9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56171C"/>
    <w:multiLevelType w:val="multilevel"/>
    <w:tmpl w:val="7A48A6C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E4398F"/>
    <w:multiLevelType w:val="multilevel"/>
    <w:tmpl w:val="A6128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466A10"/>
    <w:multiLevelType w:val="multilevel"/>
    <w:tmpl w:val="7EBC736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6A2D0A"/>
    <w:multiLevelType w:val="multilevel"/>
    <w:tmpl w:val="4B1CEB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773F2E"/>
    <w:multiLevelType w:val="multilevel"/>
    <w:tmpl w:val="34309F7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FF39FD"/>
    <w:multiLevelType w:val="multilevel"/>
    <w:tmpl w:val="B79434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24245B"/>
    <w:multiLevelType w:val="hybridMultilevel"/>
    <w:tmpl w:val="F29A93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93BA0"/>
    <w:multiLevelType w:val="multilevel"/>
    <w:tmpl w:val="4A503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EA479C"/>
    <w:multiLevelType w:val="hybridMultilevel"/>
    <w:tmpl w:val="8518789C"/>
    <w:lvl w:ilvl="0" w:tplc="3BB6FEFA">
      <w:start w:val="1"/>
      <w:numFmt w:val="bullet"/>
      <w:lvlText w:val="-"/>
      <w:lvlJc w:val="left"/>
      <w:pPr>
        <w:ind w:left="294" w:hanging="360"/>
      </w:pPr>
      <w:rPr>
        <w:rFonts w:ascii="Tw Cen MT" w:eastAsia="Times New Roman" w:hAnsi="Tw Cen MT" w:cs="Times New Roman" w:hint="default"/>
      </w:rPr>
    </w:lvl>
    <w:lvl w:ilvl="1" w:tplc="040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0">
    <w:nsid w:val="4AB37FAA"/>
    <w:multiLevelType w:val="hybridMultilevel"/>
    <w:tmpl w:val="D9787C76"/>
    <w:lvl w:ilvl="0" w:tplc="92F8C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937C6B"/>
    <w:multiLevelType w:val="multilevel"/>
    <w:tmpl w:val="BE7AF2C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842148"/>
    <w:multiLevelType w:val="multilevel"/>
    <w:tmpl w:val="E4D8DD8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FC4908"/>
    <w:multiLevelType w:val="multilevel"/>
    <w:tmpl w:val="164808E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6D44BB"/>
    <w:multiLevelType w:val="multilevel"/>
    <w:tmpl w:val="0B08970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9E39E7"/>
    <w:multiLevelType w:val="multilevel"/>
    <w:tmpl w:val="1CA2BAF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EB2014"/>
    <w:multiLevelType w:val="multilevel"/>
    <w:tmpl w:val="CFFA4A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ED71BF"/>
    <w:multiLevelType w:val="multilevel"/>
    <w:tmpl w:val="FA38EAD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5F5D85"/>
    <w:multiLevelType w:val="multilevel"/>
    <w:tmpl w:val="1474EE2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6A6451"/>
    <w:multiLevelType w:val="multilevel"/>
    <w:tmpl w:val="8A3818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A53197"/>
    <w:multiLevelType w:val="multilevel"/>
    <w:tmpl w:val="667E563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4E06DE"/>
    <w:multiLevelType w:val="multilevel"/>
    <w:tmpl w:val="499AFA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233D57"/>
    <w:multiLevelType w:val="multilevel"/>
    <w:tmpl w:val="F5AEC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2C6947"/>
    <w:multiLevelType w:val="multilevel"/>
    <w:tmpl w:val="21DC54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5A1182"/>
    <w:multiLevelType w:val="hybridMultilevel"/>
    <w:tmpl w:val="DDAEE9EC"/>
    <w:lvl w:ilvl="0" w:tplc="AA983A88">
      <w:start w:val="4"/>
      <w:numFmt w:val="bullet"/>
      <w:lvlText w:val="-"/>
      <w:lvlJc w:val="left"/>
      <w:pPr>
        <w:ind w:left="720" w:hanging="360"/>
      </w:pPr>
      <w:rPr>
        <w:rFonts w:ascii="Tw Cen MT" w:eastAsia="Times New Roman" w:hAnsi="Tw Cen M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0"/>
  </w:num>
  <w:num w:numId="4">
    <w:abstractNumId w:val="3"/>
  </w:num>
  <w:num w:numId="5">
    <w:abstractNumId w:val="34"/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5"/>
  </w:num>
  <w:num w:numId="11">
    <w:abstractNumId w:val="4"/>
  </w:num>
  <w:num w:numId="12">
    <w:abstractNumId w:val="32"/>
  </w:num>
  <w:num w:numId="13">
    <w:abstractNumId w:val="18"/>
  </w:num>
  <w:num w:numId="14">
    <w:abstractNumId w:val="31"/>
  </w:num>
  <w:num w:numId="15">
    <w:abstractNumId w:val="2"/>
  </w:num>
  <w:num w:numId="16">
    <w:abstractNumId w:val="14"/>
  </w:num>
  <w:num w:numId="17">
    <w:abstractNumId w:val="6"/>
  </w:num>
  <w:num w:numId="18">
    <w:abstractNumId w:val="29"/>
  </w:num>
  <w:num w:numId="19">
    <w:abstractNumId w:val="30"/>
  </w:num>
  <w:num w:numId="20">
    <w:abstractNumId w:val="13"/>
  </w:num>
  <w:num w:numId="21">
    <w:abstractNumId w:val="10"/>
  </w:num>
  <w:num w:numId="22">
    <w:abstractNumId w:val="23"/>
  </w:num>
  <w:num w:numId="23">
    <w:abstractNumId w:val="21"/>
  </w:num>
  <w:num w:numId="24">
    <w:abstractNumId w:val="26"/>
  </w:num>
  <w:num w:numId="25">
    <w:abstractNumId w:val="33"/>
  </w:num>
  <w:num w:numId="26">
    <w:abstractNumId w:val="15"/>
  </w:num>
  <w:num w:numId="27">
    <w:abstractNumId w:val="27"/>
  </w:num>
  <w:num w:numId="28">
    <w:abstractNumId w:val="25"/>
  </w:num>
  <w:num w:numId="29">
    <w:abstractNumId w:val="22"/>
  </w:num>
  <w:num w:numId="30">
    <w:abstractNumId w:val="0"/>
  </w:num>
  <w:num w:numId="31">
    <w:abstractNumId w:val="1"/>
  </w:num>
  <w:num w:numId="32">
    <w:abstractNumId w:val="7"/>
  </w:num>
  <w:num w:numId="33">
    <w:abstractNumId w:val="28"/>
  </w:num>
  <w:num w:numId="34">
    <w:abstractNumId w:val="1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50"/>
    <w:rsid w:val="000B6B2D"/>
    <w:rsid w:val="00162678"/>
    <w:rsid w:val="001A0B50"/>
    <w:rsid w:val="00323F25"/>
    <w:rsid w:val="003E20B7"/>
    <w:rsid w:val="004827EE"/>
    <w:rsid w:val="006137C4"/>
    <w:rsid w:val="006D7C71"/>
    <w:rsid w:val="00714921"/>
    <w:rsid w:val="008B0584"/>
    <w:rsid w:val="008F5CB4"/>
    <w:rsid w:val="00921200"/>
    <w:rsid w:val="009C1D02"/>
    <w:rsid w:val="00A63891"/>
    <w:rsid w:val="00A705DC"/>
    <w:rsid w:val="00AB617D"/>
    <w:rsid w:val="00B17231"/>
    <w:rsid w:val="00BD7242"/>
    <w:rsid w:val="00C63A88"/>
    <w:rsid w:val="00CA2782"/>
    <w:rsid w:val="00D6146C"/>
    <w:rsid w:val="00DC40EB"/>
    <w:rsid w:val="00ED7795"/>
    <w:rsid w:val="00F8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0B50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921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ln"/>
    <w:rsid w:val="00C6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npsmoodstavce"/>
    <w:rsid w:val="00C63A88"/>
  </w:style>
  <w:style w:type="character" w:customStyle="1" w:styleId="eop">
    <w:name w:val="eop"/>
    <w:basedOn w:val="Standardnpsmoodstavce"/>
    <w:rsid w:val="00C63A88"/>
  </w:style>
  <w:style w:type="character" w:customStyle="1" w:styleId="tabchar">
    <w:name w:val="tabchar"/>
    <w:basedOn w:val="Standardnpsmoodstavce"/>
    <w:rsid w:val="00C63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0B50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921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ln"/>
    <w:rsid w:val="00C6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npsmoodstavce"/>
    <w:rsid w:val="00C63A88"/>
  </w:style>
  <w:style w:type="character" w:customStyle="1" w:styleId="eop">
    <w:name w:val="eop"/>
    <w:basedOn w:val="Standardnpsmoodstavce"/>
    <w:rsid w:val="00C63A88"/>
  </w:style>
  <w:style w:type="character" w:customStyle="1" w:styleId="tabchar">
    <w:name w:val="tabchar"/>
    <w:basedOn w:val="Standardnpsmoodstavce"/>
    <w:rsid w:val="00C63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2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3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1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7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3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5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0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Střední škola obchodu, gastronomie a designu PRAKTIK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Žižlavská</dc:creator>
  <cp:lastModifiedBy>Boháčová Kristýna</cp:lastModifiedBy>
  <cp:revision>2</cp:revision>
  <dcterms:created xsi:type="dcterms:W3CDTF">2024-09-23T09:29:00Z</dcterms:created>
  <dcterms:modified xsi:type="dcterms:W3CDTF">2024-09-23T09:29:00Z</dcterms:modified>
</cp:coreProperties>
</file>